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Волгоградской области от 16.10.2019 взыскано 996 355 рублей страхового возмещения, 10 000 рублей расходов на экспертизу, 30 000 рублей расходов на услуги представителя и 400 рублей почтовых расходов. Двенадцатый арбитражный апелляционный суд постановлением от 28.01.2020 отменил решение от 16.10.2019 и отказал в удовлетворении иска, признав доказанным отсутствие надлежаще заключенного договора страхования. Арбитражный суд Поволжского округа постановлением от 21.05.2020 постановление Двенадцатого арбитражного апелляционного суда от 28.01.2020 оставил без изменения. В кассационной жалобе предприниматель просит об отмене судебных актов апелляционного и окружного судов, ссылаясь на неправильную оценку представленных в отношении существования договора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Вопросы доказывания и оценки доказательств, на которых основаны доводы жалобы, не создают оснований для кассационного пересмотра судебных актов, поскольку в пределах компетенции разрешены судами при новом рассмотрении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ПАО СТРАХОВАЯ КОМПАНИЯ "РОСГОССТРАХ"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