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17.10.2019, оставленным без изменения постановлением Восемнадцатого арбитражного апелляционного суда от 20.01.2020, в удовлетворении иска отказано. Арбитражный суд Уральского округа постановлением от 08.05.2020 решение от 17.10.2019 и постановление Восемнадцатого арбитражного апелляционного суда от 20.01.2020 оставил без изменения. В кассационной жалобе предприятие просит об отмене судебных актов, ссылаясь на неправильную оценку доказательств оказания и принятия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предприятию «Ведомственная охрана железнодорожного транспорта Российской Федерации»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Федеральное государственное предприятие "Ведомственная охрана железнодорожного транспорта Российской Федерации" (подробнее) Ответчики: ОАО "АНК "Башнефть"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