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03.03.2019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своевременное направление первоначальной жалобы (18.02.2019)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межрегионгаз»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"Газпром Межрегионгаз" (подробнее) Ответчики: Межрегиональная инспекция Федеральной налоговой службы по крупнейшим налогоплательщикам №2 (подробнее) Судьи дела: Першутов А.Г. (судья) (подробнее) Последние документы по делу: Определение от 10 августа 2020 г. по делу № А40-93027/2018 Определение от 5 марта 2020 г. по делу № А40-93027/2018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