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21.11.2019, оставленным без изменения постановлением Тринадцатого арбитражного апелляционного суда от 11.02.2020, в удовлетворении иска отказано вследствие недоказанности оказания услуг в полном объеме. Арбитражный суд Северо-Западного округа постановлением от 13.05.2020 решение от 21.11.2019 и постановление Тринадцатого арбитражного апелляционного суда от 11.02.2020 оставил без изменения. В кассационной жалобе предприниматель просит об отмене судебных актов, ссылаясь на принятие заказчиком работ без замечаний по качеству.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Мотивы отказа в иске не связаны с качеством принятых работ. Суды установили отсутствие доказательств оказания предпринимателем (исполнителем) согласованного в договоре от 10.01.2018 № 3 объема услуг, об оплате которых возник спор, поэтому отказали в иске в соответствии с обстоятельствами исполнения договора и статьями 309 , 781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ООО "РСИ"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