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"Полимедиа" обратилось в Арбитражный суд города Москвы с иском о взыскании с общества с ограниченной ответственностью "ФИО1 и партнеры. Инновационные проекты" 582 622 рублей неосновательного обогащения. Решением Арбитражного суда города Москвы от 03.10.2019 в удовлетворении иска отказано. Постановлением Девятого арбитражного апелляционного суда от 17.01.2020 решение суда первой инстанции оставлено без изменения. Арбитражный суд Московского округа постановлением от 21.05.2020 указанные судебные акты оставил без изменения. Общество с ограниченной ответственностью "Полимедиа"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779 , 781 , 783 , 1102 Гражданского кодекса Российской Федерации, суды пришли к выводу о доказанности факта оказания ответчиком услуг по договору от 12.04.2016 № 3/04.2016 на заявленную ко взысканию сумму и отсутствии на стороне ответчика неосновательного обогащения. Доводы, изложенные в кассационной жалобе, о недоказанности факта оказания услуг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"Полимедиа"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"Полимедиа" (подробнее) Ответчики: ООО "БАКАЛИНСКИЙ И ПАРТНЕРЫ. ИННОВАЦИОННЫЕ ПРОЕКТЫ"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