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"Полисфера" обратилось в Арбитражный суд Республики Татарстан с иском о взыскании с индивидуального предпринимателя Гришиной Гульназ Узбековны 176 060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"Спецгидрострой", Хасанов Радмир Узбекович, индивидуальный предприниматель Муллагалиев Марс Наильевич, Хасанова Дина Радмировна и Асадуллин Игорь Олегович. Решением Арбитражного суда Республики Татарстан от 22.11.2019 в удовлетворении иска отказано. Постановлением Одиннадцатого арбитражного апелляционного суда от 20.02.2020 решение суда первой инстанции оставлено без изменения. Арбитражный суд Поволжского округа постановлением от 28.05.2020 указанные судебные акты оставил без изменения. 2 Общество с ограниченной ответственностью "Полисфера"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66, 67, 71 Арбитражного процессуального кодекса Российской Федерации, руководствуясь положениями статей 307, 424, 633, 1102 Гражданского кодекса Российской Федерации, суды пришли к выводу о недоказанности истцом возникновения на стороне ответчика неосновательного обогащения. Доводы, изложенные в кассационной жалобе, о доказанности факта оказания услуг и их стоимости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"Полисфера"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