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«АльфаСтрахование» обратилось в Арбитражный суд города Москвы с иском о взыскании с публичного акционерного общества «Сбербанк России» 16 380 000 рублей убытков, связанных с необоснованным списанием денежных средств со счета клиента. Решением Арбитражного суда города Москвы от 23.12.2019 иск удовлетворен. Постановлением Девятого арбитражного апелляционного суда от 23.03.2020 решение суда первой инстанции оставлено без изменения. Арбитражный суд Московского округа постановлением от 29.06.2020 указанные судебные акты отменил и направил дело на новое рассмотрение в Арбитражный суд города Москвы Акционерное общество «АльфаСтрахование»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суд кассационной инстанции округа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«АльфаСтрахование»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