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«Торгово-розничная компания» (до переименования – общество с ограниченной ответственностью «Третья рыбная компания») обратилось в Арбитражный суд города Санкт- Петербурга и Ленинградской области с иском к обществу с ограниченной ответственностью «Линкор» и обществу с ограниченной ответственностью «Лидер Авто Бизнес» о взыскании 14 975 307 рублей неосновательного обогащения в размере оплаченного и непоставленного товара. Решением Арбитражного суда города Санкт-Петербурга и Ленинградской области от 26.09.2019 в удовлетворении иска отказано. Постановлением Тринадцатого арбитражного апелляционного суда от 24.12.2019 решение суда первой инстанции оставлено без изменения. Арбитражный суд Северо-Западного округа постановлением от 12.05.2020 указанные судебные акты оставил без изменения. 2 Общество с ограниченной ответственностью «Торгово-розничная компания»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506, 513, 1102, 1104, 1105 Гражданского кодекса Российской Федерации, суды пришли к выводу о том, что у ответчика – ООО «Линкор» не возникло обязательства по возврату оплаченной суммы за поставленный товар. Отказывая в удовлетворении иска к ООО «Лидер Авто Бизнес», суды исходили из того, что спорные денежные средства названному ответчику не перечислялись.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«Торгово-розничная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