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"ТермоПринт" обратилось в Арбитражный суд Калининградской области с иском о взыскании с общества с ограниченной ответственностью "ИСМА" стоимости утраченного груза в размере 49 252, 87 евро и налога на добавленную стоимость в размере 11 328, 16 евро в связи с ненадлежащим исполнением обязательств по договору от 18.04.2017 № 1 на оказание транспортно-экспедиционных услуг при перевозке грузов.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"Ваш Фермер". Решением Арбитражного суда Калининградской области от 18.09.2019 иск удовлетворен. Постановлением Тринадцатого арбитражного апелляционного суда от 18.12.2019 решение суда первой инстанции оставлено без изменения. Арбитражный суд Северо-Западного округа постановлением от 14.05.2020 указанные судебные акты оставил без изменения. Общество с ограниченной ответственностью "ИСМА"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принятия спорного груза к перевозке, установив, что спорный груз в результате пожара утратил свою ценность, руководствуясь положениями статьи 15 Конституции Российской Федерации, положениями статей 1, 4, 17 Конвенции о договоре международной дорожной перевозки грузов от 19.05.1956, статьями 7 , 803 Гражданского кодекса Российской Федерации, суды пришли к выводу о наличии оснований для взыскания стоимости утраченного груза, в том числе налога на добавленную стоимость. Доводы, изложенные в кассационной жалобе, о возможности использования поврежденного груза, о необоснованном включении в стоимость убытков суммы налога на добавленную стоимость, были рассмотрены судами и им дана надлежащая оценка.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Ссылка заявителя в кассационной жалобе на неправомерный, по его мнению, отказ в удовлетворении ходатайства о вызове в суд эксперта подлежит отклонению, поскольку вопрос о необходимости вызова эксперта относится к компетенции суда, разрешающего дело по существу, и является правом, а не обязанностью суда, которое он может реализовать в случае, если с учетом всех обстоятельств дела придет к выводу о необходимости осуществления такого процессуального действия для правильного разрешения спора.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судебных актов с учетом положений части 3 статьи 291.6 Арбитражного процессуального кодекса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"ИСМА"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"ТермоПринт" (подробнее) Ответчики: ООО "Исма"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