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«Бизнес-Вектор» обратилось в Арбитражный суд города Москвы с иском о взыскании с акционерного общества «Московская инженерно-строительная компания» 21 000 000 рублей убытков и 38 195 437 рублей упущенной выгоды. Решением Арбитражного суда города Москвы от 28.11.2019 иск удовлетворен. Постановлением Девятого арбитражного апелляционного суда от 05.02.2020 решение суда первой инстанции оставлено без изменения. Арбитражный суд Московского округа постановлением от 22.05.2020 указанные судебные акты отменил и направил дело на новое рассмотрение в Арбитражный суд города Москвы. Общество с ограниченной ответственностью «Бизнес-Вектор»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суд кассационной инстанции округа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«Бизнес-Вектор»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Бизнес-Вектор (подробнее) ООО "Стройсервис+" (подробнее) Ответчики: АО "Московская Инженерно-Строительная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