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Ханты-Мансийского автономного округа - Югры от 20.06.2019, оставленным без изменения постановлением Восьмого арбитражного апелляционного суда от 25.09.2019 и постановлением Арбитражного суда Западно-Сибирского округа от 13.03.2020, в удовлетворении исковых требований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принять новый судебный акт об удовлетворении исковых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суды первой и апелляционной инстанций установили, что результат выполненных ответчиком работ принят истцом без каких-либо возражений и, исходя из отсутствия доказательств наличия недостатков в выполненных работах, их невыполнения в полном объеме, руководствуясь статьями 15 , 393 , 720 , 721 , 722 , 723 , 740 , 743 , 753 Гражданского кодекса Российской Федерации, пришли к выводу об отсутствии оснований для удовлетворения исковых требований, с чем впоследствии согласился суд округа. Изложенные в кассационной жалобе доводы были предметом рассмотрения суда округа и получили оценку,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«СвязьСтройМонтаж»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Представитель "СвязьСтройМонтаж" Мальцев В.В. (подробнее) ООО "СвязьСтройМонтаж" (подробнее) Ответчики: ООО "КРОКУС-строй" (подробнее) Иные лица: Мальцев Вадим Владимирович, Нуритдинова Ригина Рафаэльевна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