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Колосов М.Б. обратилась в Верховный Суд Российской Федерации с кассационной жалобой, одновременно заявив ходатайство о восстановлении срока её подачи.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оценив изложенные в нём доводы, судья находит его подлежащим удовлетворению. Руководствуясь статьями 117, 184, 291.2 Арбитражного процессуального кодекса Российской Федерации, 2</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Колосова Михаила Борисовича о восстановлении пропущенного процессуального срока на подачу кассационной жалобы удовлетворить. Срок подачи кассационной жалобы восстановить. Судья Д.В. Капкаев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