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подпунктом 12 пункта 1 статьи 333.21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 подлежащей уплате при подаче искового заявления неимущественного характера, т.е. в размере 3 000 рублей. Согласно пункту 2 статьи 333.22 Налогового кодекса Российской Федерации, Верховный Суд Российской Федерации, исходя из имущественного положения плательщика, вправе освободить его от уплаты государственной пошлины, либо уменьшить ее размер, а также отсрочить (рассрочить) ее уплату в порядке, предусмотренном статьей 333.41 настоящего Кодекса. Статьей 333.41 Налогового кодекса Российской Федерации предусмотрено, что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Учитывая представление доказательств, свидетельствующих о том,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(3000 рублей), ходатайство о предоставлении отсрочки уплаты государственной пошлины подлежит удовлетворению. Учитывая изложенное и руководствуясь статьями 102 , 184 , 291.3 Арбитражного процессуального кодекса Российской Федерации, статьями 333.21 ,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«Винсел» удовлетворить. Предоставить обществу с ограниченной ответственностью «Винсел»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Коми от 21.11.2019 по делу № А29-3992/2019, постановление Второго арбитражного апелляционного суда от 18.02.2020 и постановление Арбитражного суда Волго-Вятского округа от 02.06.2020 по тому же делу. Судья Верховного Суда Российской Федерации Е.Н. Зарубина Суд: Верховный Суд РФ (подробнее) Истцы: ООО "Винсел" (подробнее) Ответчики: АО Страховое "ВСК" в лице Сыктывкарского филиала (подробнее) Иные лица: Второй Арбитражный апелляционный суд (подробнее) Инспекция Федеральной налоговой службы по г. Усинску Республики Коми (подробнее) ОМВД России по г. Усинску (подробнее) Отдел ГИББД ОМВД России по г. Усинску (подробнее) Управление ГИБДД МВД России по Республике Коми (подробнее) Судьи дела: Зарубина Е.Н. (судья) (подробнее) Последние документы по делу: Определение от 4 августа 2020 г. по делу № А29-3992/2019 Определение от 10 июля 2020 г. по делу № А29-3992/2019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