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«Газстроймонтаж» в лице конкурсного управляющего ФИО1 обратилось в Арбитражный суд города Москвы с иском о взыскании с общества с ограниченной ответственностью «Страховая компания «Арсеналъ» 7 012 250 рублей страхового возмещения.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«Страховое общество «Помощь». Решением Арбитражного суда города Москвы от 21.11.2019 иск удовлетворен в части взыскания 1 500 000 рублей страхового возмещения, в удовлетворении иска в остальной части отказано. Постановлением Девятого арбитражного апелляционного суда от 26.02.2020 решение суда первой инстанции оставлено без изменения. Арбитражный суд Московского округа постановлением от 11.06.2020 указанные судебные акты оставил без изменения. Общество с ограниченной ответственностью Страховая компания «Арсеналъ»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929 , 931 Гражданского кодекса Российской Федерации, статей 20, 24.1 Федерального закона от 26.10.2002 № 127-ФЗ «О несостоятельности (банкротстве)», статьей 9 Закона Российской Федерации от 27.11.1992 № 4015-1 «Об организации страхового дела в Российской Федерации», суды сделали вывод об обоснованности иска в части исходя из доказанности факта наступления страхового случая.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