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Севастополя от 07.10.2019, оставленным без изменения постановлением Двадцать первого арбитражного апелляционного суда от 19.11.2019 и постановлением Арбитражного суда Центрального округа от 12.03.2020, исковые требования удовлетворены. 2 В кассационной жалобе, поданной в Верховный Суд Российской Федерации, Банк в лице конкурсного управляющего, ссылаясь на нарушение судами норм материального и процессуального права,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Правительство и Банк 08.04.2016 заключили договор № 138 об условиях деятельности в свободной экономической зоне на территории города федерального значения Севастополя (далее - договор), по условиям которого на Банк возложены обязательства, направленные на реализацию задекларированного инвестиционного проекта. Приказом Центрального Банка Российской Федерации от 09.04.2018 № ОД-891 у Банка отозвана лицензия на осуществление банковских операций. Приказом Центрального Банка Российской Федерации № ОД-893 от той же даты назначена временная администрация по управлению Банком. Решением Арбитражного суда города Севастополя от 17.05.2018 по делу № А84-1175/18 Банк признан несостоятельным (банкротом), в отношении него открыто конкурсное производство. Правительство направило в адрес Банка претензию о досрочном расторжении договора, оставление которой без ответа послужило основанием для обращения в арбитражный суд с настоящим иском.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450, 452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требований. В частности, суды исходили из того, что ненадлежащее исполнение ответчиком условий договора и невозможность его исполнения в последующем ввиду отзыва лицензии и признания Банка несостоятельным (банкротом) исключает достижение сторонами целей договора, а истец лишается того, на что был вправе рассчитывать при заключении договора. 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 3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Банк «ВВБ»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