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30.09.2019, оставленным без изменения постановлением Пятого арбитражного апелляционного суда от 19.12.2019 и постановлением Арбитражного суда Дальневосточного округа от 02.03.2020, первоначальные исковые требования удовлетворены; встречный иск удовлетворен частично, с общества в пользу фирмы взыскано 151 600 руб. 29 коп. пеней; произведен зачет удовлетворенных требований, в результате которого с фирмы в пользу общества взыскано 2 962 332 руб. 75 коп. В кассационной жалобе, поданной в Верховный Суд Российской Федерации, фирма, ссылаясь на нарушение судами норм материального и процессуального права, просит изменить указанные судебные акты в части встречного иска и принять в этой части новый судебный акт о взыскании с общества в пользу фирмы 1 824 133 руб. 74 коп. неустойки.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суды первой и апелляционной инстанций установили, что стоимость невыполненных обществом в срок работ по договору составила 2 021 337 руб., а период просрочки выполнения работ – 75 дней, исходя из чего произвели перерасчет неустойки и, руководствуясь статьями 330 , 431 , 708 Гражданского кодекса Российской Федерации, частично удовлетворили встречный иск, с чем впоследствии согласился суд округа. Доводы кассационной жалобы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«Строительно-коммерческая фирма «Сфера»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"Сахалин-Инжиниринг" (подробнее) Ответчики: ООО СКФ "Сфера"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