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25.10.2019, оставленным без изменения постановлением Девятого арбитражного апелляционного суда от 19.11.2019, дело передано по подсудности в Арбитражный суд города Санкт-Петербурга и Ленинградской области. Общество обратилось в Арбитражный суд Московского округа с кассационной жалобой на указанные судебные акты. Определением Арбитражного суда Московского округа от 18.03.2020, оставленным без изменения определением того же суда от 26.05.2020, кассационная жалоба общества возвращена.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акты. Письмом Верховного Суда Российской Федерации от 10.06.2020 кассационная жалоба в части обжалования определения суда первой инстанции и постановления суда апелляционной инстанции возвращена обществу без рассмотрения на основании пункта 3 части 1 статьи 291.5 Арбитражного процессуального кодекса Российской Федерации, в связи с чем рассмотрению подлежит жалоба в оставшейся части.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Возвращая кассационную жалобу общества, суд округа руководствовался статьями 39 , 188 , 281 Арбитражного процессуального кодекса Российской Федерации, разъяснениями, приведенными в пункте 6.1 постановления Пленума Высшего Арбитражного Суда Российской Федерации от 28.05.2009 № 36 «О применении Арбитражного процессуального кодекса Российской Федерации при рассмотрении дел в арбитражном суде апелляционной инстанции», и исходил из того, что обжалование в суд кассационной инстанции постановления суда апелляционной инстанции, принятого по результатам рассмотрения жалобы на определение суда первой инстанции о передаче дела по подсудности, законом не предусмотрено. С указанными выводами согласился суд округа при рассмотрении жалобы общества, поданной в порядке статьи 291 Арбитражного процессуального кодекса Российской Федерации. Доводов, подтверждающих существенные нарушения судом округа норм права, которые могли повлиять на исход дела и являются достаточным основанием для пересмотра обжалуемых судебных актов в кассационном порядке, в жалобе не содержится.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«Дорога» для рассмотрения в судебном заседании Судебной коллегии по экономическим спорам Верховного Суда Российской Федерации.Судья Верховного Суда Российской Федерации Н.С. Чучунова Суд: Верховный Суд РФ (подробнее) Истцы: АО "Балтийский эмиссионный союз" (подробнее) АО "Дорога" (подробнее) Ответчики: АО "Национальная кастодиальная компания" (подробнее) АО "Регистроникс" (подробнее) ООО "РБ СПЕЦИАЛИЗИРОВАННЫЙ ДЕПОЗИТАРИЙ" (подробнее) ООО "Экосельхозинвест" (подробнее) Иные лица: Арбитражный суд Санкт-Петербурга и Ленинградской области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