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Лица, участвующие в деле, несут риск наступления последствий совершения или несовершения ими процессуальных действий (статья 9 Кодекса). 2 Так, последним обжалуемым заявителем судебным актом, принятым по результатам рассмотрения настоящего обособленного спора по существу, является постановление суда округа от 25.12.2019. Кассационная жалоба направлена в Верховный Суд Российской Федерации в электронном виде посредством системы электронной подачи документов «Мой Арбитр» 24.07.2020, то есть за пределами процессуального двухмесячного срока, а ходатайство о его восстановлении – за пределами шестимесячного срока. Из обжалуемого постановления суда округа следует, что Хаммуд М.Р. являлся инициатором обжалования судебного акта суда апелляционной инстанций, а его представитель принимал участие в судебном заседании суда округа; постановление суда округа от 25.12.2019 опубликовано в общедоступной базе судебных актов 26.12.2019, то есть в установленный срок. Учитывая, что предусмотренный статьей 291.2 Кодекса срок для подачи ходатайства о восстановлении пропущенного процессуального срока является пресекательным и восстановлению не подлежит, в удовлетворении ходатайства следует отказать, кассационную жалобу – возвратить заявителю.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Хаммуда Мухаммада Рамадана о восстановлении пропущенного процессуального срока оставить без удовлетворения. Кассационную жалобу Хаммуда Мухаммада Рамадана по делу № А65-5816/2017 возвратить заявителю.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