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Челябинской области с иском о взыскании с общества с ограниченной ответственностью группа компаний "Рекорд" 636 761 рубля 25 копеек неосновательного обогащения по договору поставки.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"Новитек", общество с ограниченной ответственностью "Компания "Альфа-Ойл", индивидуальный предприниматель ФИО2, индивидуальный предприниматель ФИО3. Решением Арбитражного суда Челябинской области от 05.11.2019 в удовлетворении иска отказано. Постановлением Восемнадцатого арбитражного апелляционного суда от 14.01.2020 решение суда первой инстанции оставлено без изменения. Арбитражный суд Уральского округа постановлением от 15.05.2020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506 , 516 , 1102 Гражданского кодекса Российской Федерации, суды пришли к выводу о надлежащем исполнении ответчиком обязательств по договору и отсутствии на стороне ответчика неосновательного обогащения. Доводы, изложенные в кассационной жалобе, о недоказанности факта поставки товара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ГРУППА КОМПАНИЙ "РЕКОРД"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