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18.09.2019, оставленным без изменения постановлением Первого арбитражного апелляционного суда от 23.12.2019 и постановлением Арбитражного суда Волго-Вятского округа от 04.06.2020, в удовлетворении исковых требований отказано. В кассационной жалобе, поданной в Верховный Суд Российской Федерации, учреждение, ссылаясь на нарушение судами норм материального права,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учреждения мотивированы завышением объема и стоимости выполненных обществом работ по заключенным сторонами контрактам, выявленным контрольно-ревизионным управлением.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спорная сумма перечислена обществу в рамках исполнения контрактов; учреждение подписало акты приемки выполненных работ, приняло результат работ по согласованной в контрактах стоимости и не заявило претензий по качеству и объему выполненных работ; обязательства сторон прекратились в связи с их исполнением, доказательств уменьшения цены контрактов, как и доказательств нарушения обществом условий контрактов не представлено. При таких обстоятельствах, руководствуясь статьями 309 , 310 , 702 , 711 , 1102 Гражданского кодекса Российской Федерации, суды пришли к выводу об отсутствии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 при рассмотрении дела,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здравоохранения «Санаторий «Горбатов» Министерства внутренних дел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ФКУЗ Санаторий "Горбатов "МВД РФ (подробнее) Ответчики: ООО "Меркурий"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