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12.08.2019, оставленным без изменения постановлением Семнадцатого арбитражного апелляционного суда от 20.11.2019 и постановлением Арбитражного суда Уральского округа от 28.02.2020, в удовлетворении иска отказано. В кассационной жалобе, поданной в Верховный Суд Российской Федерации, компания, ссылаясь на нарушение судами норм процессуального права, просит отменить указанные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продления срока завершения работ по договору по соглашению сторон до 31.12.2016, учитывая отсутствие доказательств, свидетельствующих об ином, руководствуясь статьями 329 , 330 Гражданского кодекса Российской Федерации, суды первой и апелляционной инстанций пришли к выводу об отсутствии оснований для начисления обществу неустойки и отказали в удовлетворении иска, с чем впоследствии согласился суд округа. Доводы заявителя, в том числе о необоснованном отказе суда в удовлетворении заявления о фальсификации доказательств, были предметом рассмотрения суда округа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Развития»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"Строительная компания Развития" (подробнее) Управление Федеральной антимонопольной службы по Свердловской области (подробнее) Ответчики: ООО Стройстрит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