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«СТРОЙМЕТАЛЛГРУПП» удовлетворить. Срок подачи кассационной жалобы на решение Арбитражного суда города Москвы от 05.07.2019, постановление Девятого арбитражного апелляционного суда от 06.11.2019 и постановление Арбитражного суда Московского округа от 28.02.2020 по делу № А40-126895/2019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