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18.07.2019, оставленным без изменения постановлением Восьмого арбитражного апелляционного суда от 23.10.2019 и постановлением Арбитражного суда Западно-Сибирского округа от 26.02.2020, первоначальные исковые требования удовлетворены частично, с товарищества в пользу общества взыскано 357 113 руб. задолженности, 125 415 руб. 81 коп. неустойки, 11 195 руб. 90 коп. судебных расходов по уплате государственной пошлины, 18 030 руб. судебных издержек, в удовлетворении остальной части требований отказано. Встречные исковые требования удовлетворены частично, с общества в пользу товарищества взыскано 11 000 руб. штрафа, 119 686 руб. неустойки, 3552 руб. 42 коп. судебных издержек, в удовлетворении остальной части требований отказано. Произведен зачет встречных исковых требований, в результате которого с товарищества в пользу общества взыскано 351 842 руб. 90 коп. долга, 11 195 руб. 90 коп. судебных расходов по уплате государственной пошлины, 14 477 руб. 58 коп. судебных издержек. В кассационной жалобе, поданной в Верховный Суд Российской Федерации, товарищество, ссылаясь на нарушение судами норм материального права, несоответствие их выводов фактическим обстоятельствам дела, просит изменить указанные судебные акты и принять новый судебный акт об отказе в удовлетворении первоначальных исковых требований и удовлетворении встречных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Предъявленные взаимные требования общества (исполнителя) и товарищества (заказчика) основаны на договоре подряда от 18.07.2017 № 1 (далее – договор). Исследовав и оценив по правилам статьи 71 Арбитражного процессуального кодекса Российской Федерации, суды первой и апелляционной инстанций установили, что общество выполнило работы по договору, направило акт о приемке выполненных работ товариществу, которое необоснованно отказалось от его подписания и не представило доказательств невозможности использования результата работ. Учитывая произведенное товариществом авансирование, а также результаты судебной экспертизы, суды пришли к выводу о наличии у товарищества обязанности по оплате работ, выполненных обществом по объему и качеству в соответствии с условиями договора, в сумме 357 113 руб. и, осуществив перерасчет неустойки, начисленной обществом за нарушение товариществом срока оплаты работ, руководствуясь статьями 309 , 310 , 329 , 330 , 711 , 720 , 723 , 740 , 746 , 753 , 1102 Гражданского кодекса Российской Федерации, частично удовлетворили первоначальные исковые требования и отказали в удовлетворении встречного требования о взыскании аванса. Установив нарушение обществом срока выполнения работ, учитывая несоразмерность неустойки последствиям нарушения обязательства, применив по ходатайству общества положения статьи 333 Гражданского кодекса Российской Федерации, а также признав доказанным факт неисполнения обществом обязанности по уборке мусора в период с 20.09.2017 по 30.09.2017, суды частично удовлетворили встречные требования товарищества о взыскании неустойки и штрафа.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при рассмотрении дела,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«Квартал»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Ruslan Dokin (подробнее) Ответчики: ТСЖ "Квартал" (подробнее) Иные лица: ООО Докин Р.И. представитель "СтройАльянс" (подробнее) ООО "Сургутский независимый экспертно-оценочный центр" (подробнее) ТСЖ ПРЕД-ЛЬ "КВАРТАЛ" АГАФОНОВ С.Н. (подробнее) ФНС России МРИ №6 по ХМАО-Югре (подробнее) ФНС России МРИ №7 по ХМАО - Югре (подробнее) Судебная практика по: Неосновательное обогащение, взыскание неосновательного обогащения Судебная практика по применению нормы ст. 1102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