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12.09.2019, оставленным без изменения постановлением Восемнадцатого арбитражного апелляционного суда от 05.12.2019 и постановлением Арбитражного суда Уральского округа от 20.03.2020, иск удовлетворен.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779, 781 Гражданского кодекса Российской Федерации, статьями 156, 161, 162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решением Орского городского Совета депутатов от 06.11.2013 № 40-664 «Об утверждении норм накопления твердых бытовых отходов для населения», суды первой и апелляционной инстанций, с которыми впоследствии согласился суд округа, пришли к выводу о наличии оснований для удовлетворения иска. В частности, суды исходили из подтвержденности факта оказания компанией услуг по сбору и вывозу твердых коммунальных отходов, непредставления обществом доказательств оказания услуг ненадлежащего качества либо иным лицом, а также оплаты услуг в полном объеме. С учетом установленных фактических обстоятельств настоящего дела доводы заявителя, изложенные в кассационной жалобе,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«Ленинский ЖКС-6»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