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«Гарант» удовлетворить. Срок подачи кассационной жалобы на решение Арбитражного суда города Санкт-Петербурга и Ленинградской области от 17.07.2019, постановление Тринадцатого арбитражного апелляционного суда от 28.10.2019 и постановление Арбитражного суда Северо-Западного округа от 06.03.2020 по делу № А56-13292/2019 восстановить.Судья Верховного Суда Российской Федерации Н.С. Чучунова Суд: Верховный Суд РФ (подробнее) Истцы: ООО "Гарант" (подробнее) Ответчики: Государственное бюджетное общеобразовательное учреждение средняя общеобразовательная школа №464 Пушкинского района Санкт-Петербурга (подробнее) Судьи дела: Чучунова Н.С. (судья) (подробнее) Последние документы по делу: Определение от 28 июля 2020 г. по делу № А56-13292/2019 Определение от 3 июня 2020 г. по делу № А56-13292/2019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