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02.10.2019, оставленным без изменения постановлением Шестого арбитражного апелляционного суда от 06.12.2019 и постановлением Арбитражного суда Дальневосточного округа от 13.02.2020,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Хабаровского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740 , 746 , 753 Гражданского кодекса Российской Федерации, суды первой и апелляционной инстанций, с которыми впоследствии согласился суд округа, пришли к выводу о наличии оснований для удовлетворения иска, исходя из подтвержденности факта выполнения компанией спорных работ, отсутствия доказательств предъявления обществом претензий относительно объема и качества работ, а также их оплаты.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«Мерси Агро Сахалин»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Конкурсный управляющий Кружеленков А.В. (подробнее) ООО "Альтаир" (подробнее) Ответчики: АО "Мерси Агро Сахалин" (подробнее) Иные лица: МР ИФНС №1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