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14.08.2019, оставленным без изменения постановлением Четвертого арбитражного апелляционного суда от 02.12.2019 и постановлением Арбитражного суда Восточно-Сибирского округа от 12.03.2020, с общества в пользу компании взыскано 1 380 969 руб. 90 коп. штрафа, в удовлетворении остальной части иска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Иркутской области в ином составе судей.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Суды первой и апелляционной инстанций, с которыми согласился суд округа,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309, 310, 329, 330, 463, 469, 506 Гражданского кодекса Российской Федерации, установив факт нарушения обществом условий договора, пришли к выводу о наличии оснований для взыскания с него штрафа, размер которого уменьшили по ходатайству ответчика по правилам статьи 333 Гражданского кодекса Российской Федерации. Доводы кассационной жалобы были предметом рассмотрения судов и получили правовую оценку, не опровергают выводы судов и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«Производственное объединение Миасский завод специализированных автомобилей»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