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решение Арбитражного суда города Москвы от 10.09.2019, оставленным без изменения постановлением Девятого арбитражного апелляционного суда от 18.11.2019 и постановлением Арбитражного суда Московского округа от 02.03.2020, первоначальные исковые требования удовлетворены,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первоначальных исковых требований и удовлетворении встречного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от 09.11.2017 № 41, суды первой и апелляционной инстанций установили, что компания надлежащим образом выполнила работы по договору, передала обществу разработанную документацию, однако последнее подписанный со своей стороны акт выполненных работ в адрес компании не представило, каких-либо возражений не заявило, работы в полном объеме не оплатило. При таких обстоятельствах, руководствуясь статьями 307 , 309 , 310 , 395 Гражданского кодекса Российской Федерации, суды пришли к выводу о наличии оснований для удовлетворения первоначальных исковых требований и отказа для удовлетворения встречного иска,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«ЗЕМЛИ-ПРО»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"РЕХАУСПРО" (подробнее) Ответчики: ООО "ЗЕМЛИ-ПРО"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