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Лазарев А.В. обратилась в Верховный Суд Российской Федерации с кассационной жалобой, одновременно заявив ходатайство о восстановлении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нём доводы, судья находит его подлежащим удовлетворению. Руководствуясь статьями 117, 184, 291.2 Арбитражного процессуального кодекса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Лазарева Антона Вячеславовича о восстановлении пропущенного процессуального срока на подачу кассационной жалобы удовлетворить. Срок подачи кассационной жалобы восстановить.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