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«Майсклес» на основании договора уступки прав требования (цессии) от 12.04.2018 обратилось в Арбитражный суд Вологодской области с иском к обществу с ограниченной ответственностью «Биоэнергетика» о взыскании 35 155 000 рублей задолженности по возврату заемных денежных средств и 7 240 208 рублей 99 копеек процентов за пользование займом. К участию в деле в качестве третьих лиц, не заявляющих самостоятельных требований относительно предмета спора, привлечены гражданка ФИО1 и общество с ограниченной ответственностью «Группа компаний БИО». Решением Арбитражного суда Вологодской области от 09.10.2018 иск удовлетворен в части взыскания 35 155 000 рублей основного долга, в удовлетворении иска в остальной части отказано. Постановлением Четырнадцатого арбитражного апелляционного судаот 28.12.2018 решение суда первой инстанции оставлено без изменения. Арбитражный суд Северо-Западного округа постановлением от 29.03.2019 указанные судебные акты оставил без изменения. Общество с ограниченной ответственностью «Биоэнергетика»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309 , 310 , 382 , 384 , 388 , 807 , 808 , 810 , 1102 Гражданского кодекса Российской Федерации, суды пришли к выводам о том, что договоры уступки прав требования от 07.09.2016 и от 12.04.2018 не противоречат нормам главы 24 Гражданского кодекса Российской Федерации, а также о том, что на стороне ООО «Биоэнергетика» имеется обязанность по возврату полученных им денежных средств в размере 35 155 000 рублей.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«Биоэнергетика»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"Майсклес" (подробнее) Ответчики: ООО "Биоэнергетика" (подробнее) Иные лица: ЗАО Банк "Вологжанин" (подробнее) МРИ ФНС №11 по Вологодской области (подробнее) МРИ ФНС №7 по Ярославской области (подробнее) ООО "Группа компаний "БИО" (подробнее) ООО Ликвидатору "Группа компаний "Био" Москвину Павлу Юрьевичу (подробнее) ОСП по Сокольскому и Усть-кубинскому районам (подробнее) Последние документы по делу: Определение от 28 июля 2020 г. по делу № А13-6289/2018 Определение от 26 июня 2019 г. по делу № А13-6289/2018 Показать все документы по этому делу Судебная практика по: Неосновательное обогащение, взыскание неосновательного обогащения Судебная практика по применению нормы ст. 1102 ГК РФ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