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«Рекламная Бартерная Группа»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закрытого акционерного общества «Издательство «Семь Дней» 41 400 евро и 38 000 долларов США в рублях по курсу ЦБ РФ на дату платежа неосновательного обогащения. Решением Арбитражного суда города Москвы от 24.08.2019 в удовлетворении иска отказано. Постановлением Девятого арбитражного апелляционного суда от 04.03.2020 решение суда первой инстанции отменено и иск удовлетворен. Арбитражный суд Московского округа постановлением от 20.05.2020 постановление суда апелляционной инстанции оставил без изменения. Закрытое акционерное общество «Издательство «Семь Дней»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оказания истцом ответчику услуг, руководствуясь положениями статей 432 , 779 , 781 , 1102 Гражданского кодекса Российской Федерации, суд апелляционной инстанции пришел к выводу о наличии у ответчика обязанности по оплате стоимости оказанных услуг, отклонив доводы ответчика об исполнении встречных обязательств по размещению рекламы вместо оплаты долга.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«Издательство «Семь Дней»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"РЕКЛАМНАЯ БАРТЕРНАЯ ГРУППА" (подробнее) Ответчики: ЗАО "Издательство СЕМЬ ДНЕЙ"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