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«Плюс Гарантия» обратилось в Арбитражный суд Свердловской области с иском о взыскании с публичного акционерного общества «Уральский банк реконструкции и развития» 932 394 рублей 94 копеек неосновательного обогащения и 26 362 рублей 51 копейки процентов за пользование чужими денежными средствами. Решением Арбитражного суда Свердловской области от 13.11.2019 иск удовлетворен в части взыскания 932 394 рублей 94 копеек неосновательного обогащения и 26 164 рублей 54 копеек процентов за пользование чужими денежными средствами, в удовлетворении иска в остальной части отказано. Постановлением Семнадцатого арбитражного апелляционного суда от 30.01.2020 решение суда первой инстанции оставлено без изменения. Арбитражный суд Уральского округа постановлением от 22.05.2020 указанные судебные акты оставил без изменения. Публичное акционерное общество «Уральский банк реконструкции и развития»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тарифы банка на открытие, закрытие счетов и подключение счета к интернет-банку, утвержденные распоряжением вице-президента ПАО «УБРиР» от 13.12.2018 № 7006-2792, руководствуясь положениями статей 395 , 1102 Гражданского кодекса Российской Федерации, суды пришли к выводу о наличии на стороне банка неосновательного обогащения, подлежащего возврату с начислением процентов за пользование чужими денежными средствами.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"Плюс Гарантия" (подробнее) Ответчики: ПАО "Уральский банк реконструкции и развития"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