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«Спекторстрой» удовлетворить. Срок подачи кассационной жалобы на решение Арбитражного суда города Москвы от 13.06.2019, постановление Девятого арбитражного апелляционного суда от 20.09.2019 и постановление Арбитражного суда Московского округа от 11.02.2020 по делу № А40-4965/2019 восстановить.Судья Верховного Суда Российской Федерации Н.С. Чучунова Суд: Верховный Суд РФ (подробнее) Истцы: ООО "ПромИнжиниринг" (подробнее) Ответчики: ООО "СПЕКТОРСТРОЙ" (подробнее) Судьи дела: Чучунова Н.С. (судья) (подробнее) Последние документы по делу: Определение от 27 июля 2020 г. по делу № А40-4965/2019 Определение от 3 июня 2020 г. по делу № А40-4965/2019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