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«Неолит» удовлетворить. Срок подачи кассационной жалобы на решение Арбитражного суда города Санкт-Петербурга и Ленинградской области от 12.08.2019, постановление Тринадцатого арбитражного апелляционного суда от 18.11.2019 и постановление Арбитражного суда Северо-Западного округа от 20.02.2020 по делу № А56-46461/2019 восстановить.Судья Верховного Суда Российской Федерации Н.С. Чучунова Суд: Верховный Суд РФ (подробнее) Истцы: ООО "НеоЛит" (подробнее) Ответчики: ФЕДЕРАЛЬНОЕ ГОСУДАРСТВЕННОЕ БЮДЖЕТНОЕ ОБРАЗОВАТЕЛЬНОЕ УЧРЕЖДЕНИЕ ВЫСШЕГО ОБРАЗОВАНИЯ "РОССИЙСКИЙ ГОСУДАРСТВЕННЫЙ ПЕДАГОГИЧЕСКИЙ УНИВЕРСИТЕТ ИМ. А. И. ГЕРЦЕНА" (подробнее) Судьи дела: Чучунова Н.С. (судья) (подробнее) Последние документы по делу: Определение от 27 июля 2020 г. по делу № А56-46461/2019 Определение от 1 июня 2020 г. по делу № А56-46461/2019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