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15.08.2019 заявленные требования удовлетворены. Постановлением Восемнадцатого арбитражного апелляционного суда от 14.11.2019 решение суда первой инстанции отменено, в удовлетворении требований отказано. 2 Постановлением Арбитражного суда Уральского округа от 05.03.2020 постановление суда апелляционной инстанции оставлено без изменения. Предприниматель просит постановления судов апелляционной и кассационной инстанций отменить, считая их принятыми с существенным нарушением норм материального права и (или) норм процессуального права, оставить в силе решение суда первой инстанции. Письмом судьи Верховного Суда Российской Федерации от 15.06.2020 были истребованы материалы дела из Арбитражного суда Оренбургской области.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по материалам истребованного дела и принятых по делу судебных актов оснований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не установлено. Отменяя решение суда первой инстанции и отказывая в удовлетворении требований, суд апелляционной инстанции руководствовался положениями подпункта 2 пункта 1 статьи 419, пунктов 1 и 7 статьи 430 Налогового кодекса Российской Федерации, подпункта 3 пункта 1 статьи 11 Федерального закона от 17.12.2001 № 173-ФЗ «О трудовых пенсиях в Российской Федерации», и исходил из того, что освобождение от уплаты страховых взносов на обязательное пенсионное и медицинское страхование в отношении периода пребывания предпринимателя в отпуске по беременности и родам 3 законодательством не предусмотрено. Суд округа поддержал указанные выводы суда апелляционной инстанции. Ссылка в жалобе на правовую позицию, изложенную в пункте 3 информационного письма Президиума Высшего Арбитражного Суда Российской Федерации от 11.04.2006 № 107 «О некоторых вопросах, связанных с применением положений статьи 28 Федерального закона «Об обязательном пенсионном страховании в Российской Федерации» не может служить основанием для отмены судебных актов, поскольку изменениями, внесенными в Федеральный закон от 24.07.2009 № 212-ФЗ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территориальные фонды обязательного медицинского страхования» и вступившими в силу с 01.01.2013, изменились основания освобождения предпринимателей от уплаты страховых взносов. Приведенные в жалобе доводы не свидетельствуют о существенных нарушениях норм материального права, а также требований процессуального законодательства, повлиявших на исход судебного разбирательства.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