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03.09.2019, оставленным без изменения постановлением Одиннадцатого арбитражного 2 апелляционного суда от 06.11.2019, иск удовлетворен частично, с ответчика в пользу истца взыскано 106 570 рублей задолженности, 5387,49 рублей процентов за пользование чужими денежными средствами, в удовлетворении остальной части требований отказано. Постановлением Арбитражного суда Поволжского округа от 13.03.2020 решение суда первой инстанции и постановление суда апелляционной инстанции отменены в части удовлетворения требований, в указанной части в иске отказано, в остальной части судебные акты оставить без изменения. Общество обратилось в Верховный Суд Российской Федерации с кассационной жалобой на постановление суда округа, в которой просит его отменить, направить дело на новое рассмотрение в суд первой инстанции. Письмом судьи Верховного Суда Российской Федерации от 15.06.2020 были истребованы материалы дела из Арбитражного суда Республики Татарстан.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оснований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не установлено. Отменяя судебные акты судов первой и апелляционной инстанций и отказывая в удовлетворении требований, суд округа руководствовался положениями статей 34 и 93 Федерального закона от 05.04.2013 № 44-ФЗ «О 3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а также правовой позицией, изложенной в пункте 4 Обзора судебной практики Верховного Суда Российской Федерации № 3 (2015), утвержденного Президиумом Верховного Суда Российской Федерации 25.11.2015, и пункте 20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и исходил из установленных судами обстоятельств, свидетельствующих о том, что поставка спорного товара не была согласована сторонами в порядке, установленном законодательством. Доводы жалобы со ссылкой на положения пункта 15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не могут служить основанием для отмены судебных актов в силу требований статей 158 и 434 Гражданского кодекса Российской Федерации, в отсутствие допустимых доказательств, позволяющих достоверно установить волеизъявление сторон. Поскольку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