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09.10.2019, оставленным без изменения постановлением Четвертого арбитражного апелляционного суда от 04.12.2019, в удовлетворении требований отказано. Постановлением Арбитражного суда Восточно-Сибирского округа от 27.02.2020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заявленные требования удовлетворить. Письмом судьи Верховного Суда Российской Федерации от 18.06.2020 были истребованы материалы дела из Арбитражного суда Иркутской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оснований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антимонопольный орган выявил факт уклонения общества от обязанности по рассмотрению заявки и осуществлению технологического присоединения объектов собственника к электрическим сетям. Частью 1 статьи 9.21 Кодекса Российской Федерации об административных правонарушениях установлена ответственность за 3 нарушение субъектом естественной монополии правил (порядка обеспечения) Кодекса Российской Федерации об административных правонарушениях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транспортировки воды по их водопроводным сетям и (или) транспортировке сточных вод по их канализационным сетям. В соответствии с частью 2 статьи 9.21 Кодекса Российской Федерации об административных правонарушениях повторное совершение административного правонарушения, предусмотренного частью 1 настоящей статьи, влечет наложение административного штрафа на юридических лиц в размере от шестисот тысяч до одного миллиона рублей. Оценив представленные доказательства, руководствуясь положениями Федерального закона от 26.03.2003 № 35-ФЗ «Об электроэнергетике»,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27.12.2004 № 861 (в редакции, действовавшей на момент совершения правонарушения), суды пришли к выводу о наличии в действиях общества состава правонарушения, ответственность за совершение которого предусмотрена частью 2 статьи 9.21 Кодекса Российской Федерации об административных правонарушениях. 4 Доводы жалобы со ссылкой на положениями статьи 1.7 Кодекса Российской Федерации об административных правонарушениях были предметом исследования судов и отклонены с учетом установленных обстоятельств изменения на момент привлечения к административной ответственности порядка подачи заявки на технологическое присоединение, что не свидетельствует об устранении ответственности за совершенное правонарушение, и не отменяет обязанности реагирования на заявления граждан до внесенных изменений.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