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июля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указанные судебные акты, одновременно заявив ходатайство об отсрочке уплаты государственной пошлины, мотивированное отсутствием у него денежных средств, необходимых для уплаты пошлины в установленном размере. В силу статьи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В соответствии с пунктом 2 статьи 333.22 Налогового кодекса Российской Федерации арбитражные суды, исходя из имущественного положения 2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данного Кодекса. Поскольку представленные обществом в обоснование ходатайства документы свидетельствуют об отсутствии у него возможности уплатить государственную пошлину при подаче кассационной жалобы, ходатайство подлежит удовлетворению. Руководствуясь статьями 102, 184, 185 Арбитражного процессуального кодекса Российской Федерации, статьями 333.22, 333.41 Налогового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«БАКО» удовлетворить. Предоставить обществу с ограниченной ответственностью «БАКО» отсрочку уплаты государственной пошлины сроком до окончания производства по кассационной жалобе.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