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19.02.2020 заявление возвращено. Определением Арбитражного суда Волго-Вятского округа от 16.04.2020 указанное определение оставлено без изменений. ФИО1 просит названные судебные акты отменить, считая их принятыми с существенным нарушением норм процессуального права.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доводов кассационной жалобы следует, что заявитель связывает нарушение права на справедливое судебное разбирательство в разумный срок с нарушением процессуального срока на рассмотрение его заявления о взыскании судебных расходов по делу. Между тем доказательств, свидетельствующих о нарушении права заявителя на судопроизводство в разумный срок применительно к требованиям Федерального закона от 30.04.2010 № 68-ФЗ «О компенсации за нарушение права на судопроизводство в разумный срок или права на исполнение судебного акта в разумный срок», и разъяснениям, изложенным в Постановлении Пленума Верховного Суда Российской Федерации от 29.03.2016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срок», не представлено. При этом по результатам рассмотрения заявлений ФИО1 от 23.05.2019 и 10.05.2018 было вынесено определение Арбитражного суда Республики Коми от 28.06.2019 с учетом объединения дел № А29-14197/2016 и № А29-8146/2017 в одно производство. При таких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Министарство финансов Республики Коми (подробнее) Министерство финансов Республики Коми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