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04.06.2019, оставленным без изменения постановлением Девятого арбитражного апелляционного суда от 06.09.2019, с учреждения в пользу общества взыскано 345 524 руб. 24 коп. процентов за пользование чужими денежными средствами, в удовлетворении остальной части исковых требований отказано. Постановлением Арбитражного суда Московского округа от 20.01.2020 решение суда первой инстанции и постановление суда апелляционной инстанции отменены в части отказа во взыскании 22 159 679 руб. 36 коп. неосновательного обогащения, дело в указанной части направлено на новое рассмотрение в Арбитражный суд города Москвы, в остальной части судебные акты оставлены без изменения. В кассационной жалобе, поданной в Верховный Суд Российской Федерации, учреждение, ссылаясь на нарушение судом округа норм права, просит отменить его постановление и оставить в силе решение суда первой инстанции и постановление суда апелляционной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материалов дела и доводов кассационной жалобы не установлено.Отменяя судебные акты судов первой и апелляционной инстанций и направляя дело на новое рассмотрение, суд округа, не принимая судебного акта по существу спора, указал на необходимость исследовать и дать оценку всем имеющимся в материалах дела доказательствам и заявленным сторонами доводам.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государственного бюджетного учреждения «Национальный исследовательский центр «Курчатовский институт»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АО "СПЕЦИАЛИЗИРОВАННЫЙ НАУЧНО-ИССЛЕДОВАТЕЛЬСКИЙ ИНСТИТУТ ПРИБОРОСТРОЕНИЯ" (подробнее) Ответчики: ФГБУ "Национальный исследовательский центр "Курчатовский институт"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