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06.09.2019, оставленным без изменения постановлением Двадцатого арбитражного 2 апелляционного суда от 20.02.2020, общество привлечено к административной ответственности, предусмотренной частью 1 статьи 14.32 Кодекса Российской Федерации об административных правонарушениях и ему назначено наказание в виде предупреждения, изъятые алкогольная продукция и технологическое оборудование переданы на уничтожение. Постановлением Арбитражного суда Центрального округа от 02.06.2020 указанные судебные акты оставлены без изменения. Завод обратился в Верховный Суд Российской Федерации с кассационной жалобой, в которой просит обжалуемые судебные акты отменить в части изъятия и передачи на уничтожение технологического оборудования, в связи с допущенным, по его мнению, нарушением судом норм материального права в указанной части.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из представленных в материалы дела документов суды не усмотрели возможность идентификации завода как владельца технологического оборудования. 3 Оснований для иной оценки указанных обстоятельств исходя из доводов жалобы завода и полномочий Верховного Суда Российской Федерации не имеется. На основании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