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14.11.2019 в удовлетворении требований отказано. Определением Девятого арбитражного апелляционного суда от 03.02.2020 апелляционная жалоба возвращена обществу в связи с пропуском срока на подачу апелляционной жалобы и отказом в удовлетворении ходатайства о его восстановлении. Постановлением Арбитражного суда Московского округа от 13.05.2020 определение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судебные акты апелляционного суда и суда округа отменить, ссылаясь на допущенные существенные нарушения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Приводимые заявителем причины несвоевременного обращения в суд с апелляционной жалобой были рассмотрены судом и признаны неуважительными. Поддерживая данный вывод, суд округа указал, что обстоятельства, связанные с отсутствием в штате общества юриста, являются внутренними организационными проблемами, которые применительно к пункту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 (подлежащим применению в рассматриваемое время) не могут рассматриваться в качестве уважительных причин пропуска процессуального срока.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жалобы и действительно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"Проект-М" (подробнее) Ответчики: ГОСУДАРСТВЕННОЕ БЮДЖЕТНОЕ ПРОФЕССИОНАЛЬНОЕ ОБРАЗОВАТЕЛЬНОЕ УЧРЕЖДЕНИЕ ГОРОДА МОСКВЫ "КОЛЛЕДЖ АРХИТЕКТУРЫ, ДИЗАЙНА И РЕИНЖИНИРИНГА №26"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