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26.07.2019 арбитражный управляющий привлечен к административной ответственности по части 3 статьи 14.13 Кодекса Российской Федерации об административных правонарушениях и ему назначено наказание в виде административного штрафа в размере 25 000 рублей. Постановлением Тринадцатого арбитражного апелляционного суда от 06.12.2019 решение суда первой инстанции отменено, оспариваемое постановление отменено в связи с признанием правонарушения малозначительным. Постановлением Арбитражного суда Северо-Западного округа от 13.05.2020 постановление суда апелляционной инстанции отменено, решение суда первой инстанции оставлено в силе. Арбитражный управляющий обратился в Верховный Суд Российской Федерации с кассационной жалобой, в которой просит постановление суда округа отменить, считает неправомерными выводы об отсутствии основания для квалификации совершенного арбитражным управляющим правонарушения в качестве малозначительного.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Установив, что арбитражный управляющий ненадлежащим образом исполнял обязанности, возложенные на него Федеральным законом от 26.10.2002 № 127-ФЗ «О несостоятельности (банкротстве)», суды пришли к выводу о наличии в действиях арбитражного управляющего состава правонарушения, ответственность за совершение которого предусмотрена частью 3 статьи 14.13 Кодекса Российской Федерации об административных правонарушениях. Указанные выводы судов в жалобе не опровергаются. Признавая неправомерным вывод суда апелляционной инстанции о наличии оснований для применения положений о малозначительности, суд округа руководствовался положениями статьи 2.9 Кодекса Российской Федерации об административных правонарушениях и разъяснениями, изложенными в пункте 18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правонарушениях», пункте 21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и исходил из того, что существенная угроза охраняемым правоотношениям может выражаться не только в наступлении каких-либо материальных последствий правонарушения, а в пренебрежительном отношении арбитражного управляющего к исполнению своих публично-правовых обязанностей по соблюдению правил, применяемых в период процедуры конкурсного управления, что установлено судом первой инстанции исходя из обстоятельств вмененного правонарушения. Поскольку необходимые меры в процедуре банкротства планирует и реализует сам арбитражный управляющий как профессионал, которому доверено текущее руководство процедурой банкротства, суды пришли к выводу о наличии вины в его действиях, указав, что арбитражный управляющий должен добросовестно исполнять свои обязанности. Штраф назначен в минимальном размере. Доводы жалобы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Управление Федеральной службы государственной регистрации, кадастра и картографии по Калининградской области (подробнее) Ответчики: а/у Ольгин Александр Валерьевич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