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в лице конкурсного управляющего обратилось в Верховный Суд Российской Федерации с кассационной жалобой, заявив ходатайство о восстановлении срока на подачу жалобы.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10.03.2020,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обществу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«Интер Трейд»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