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Рик Я.Ю. обратилась в Верховный Суд Российской Федерации с кассационной жалобой, одновременно заявив ходатайство о восстановлении срока её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нём доводы, судья находит его подлежащим удовлетворению. Руководствуясь статьями 117, 184, 291.2 Арбитражного процессуального кодекса Российской Федерации,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Рик Яны Юрьевны о восстановлении пропущенного процессуального срока на подачу кассационной жалобы удовлетворить. Срок подачи кассационной жалобы восстановить.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