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13.07.2020 обратился в Верховный Суд Российской Федерации с кассационной жалобой в электронном виде на вышеуказанные судебные акты, одновременно заявив ходатайство о восстановлении пропущенного процессуального срока на ее подачу.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настоящего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Последним обжалуемым заявителем судебным актом является постановление Арбитражного суда Московского округа от 24.12.2019. Обратившись в суд с кассационной жалобой 13.07.2020, заявитель пропустил предельно допустимый шестимесячный срок подачи кассационной жалобы. Данный срок является пресекательным и восстановлению не подлежит. При таких обстоятельствах ходатайство о восстановлении пропущенного срока следует оставить без удовлетворения, а кассационную жалобувозвратить заявителю.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индивидуального предпринимателя ФИО1 о восстановлении пропущенного процессуального срока отказать. Кассационную жалобу на решение Арбитражного суда города Москвы от 21.06.2019, постановление Девятого арбитражного апелляционного суда от 12.09.2019 и постановление Арбитражного суда Московского округа от 24.12.2019 по делу № А40-62701/2019 возвратить заявителю.Судья Верховного СудаРоссийской Федерации М.К. Антонова Суд: Верховный Суд РФ (подробнее) Ответчики: ГЛАВНОЕ УПРАВЛЕНИЕ МИНИСТЕРСТВА ВНУТРЕННИХ ДЕЛ РОССИЙСКОЙ ФЕДЕРАЦИИ ПО МОСКОВСКОЙ ОБЛАСТИ (подробнее) Управление Федеральной антимонопольной службы по Московской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