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«Техпром» обратилось в Арбитражный суд Свердловской области с иском к обществу с ограниченной ответственностью «Типография Ситипринт» о расторжении договора на изготовление этикеток и взыскании уплаченных за товар денежных средств в размере 72 500 рублей. Решением Арбитражного суда Свердловской области от 25.09.2019 иск удовлетворен в части взыскания 72 500 рублей, производство по делу в части требования о расторжении договора прекращено в связи с отказом истца от требования в указанной части и его принятия судом. Постановлением Семнадцатого арбитражного апелляционного суда от 20.12.2019 решение суда первой инстанции оставлено без изменения. Арбитражный суд Уральского округа постановлением от 07.05.2020 указанные судебные акты оставил без изменения. Общество с ограниченной ответственностью «Типография Ситипринт»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ответчик поставил товар не соответствующий условиям технического задания и отсутствуют доказательства замены товара на товар надлежащего качества, руководствуясь положениями статей 309 , 310 , 469 , 506 , 518 Гражданского кодекса Российской Федерации, суды пришли к выводу об отсутствии у ответчика оснований для удержания полученной за товар суммы.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«Типография Ситипринт»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ТЕХПРОМ (подробнее) Ответчики: ООО ТИПОГРАФИЯ СИТИПРИНТ (подробнее) Судьи дела: Зарубина Е.Н.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