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При этом производство по настоящей жалобе в части обжалования определения Арбитражного суда города Санкт-Петербурга и Ленинградской области от 20.08.2018 по настоящему делу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так как обжалуемый 2 судебный акт не был предметом рассмотрения по существу в суде кассационной инстанции. Руководствуясь статьями 117, 150,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«Петра Групп» удовлетворить. Срок подачи кассационной жалобы общества с ограниченной ответственностью «Петра Групп» на определение Тринадцатого арбитражного апелляционного суда от 05.12.2019 и постановление Арбитражного суда Северо-Западного округа от 06.02.2020 по делу № А56-59898/2016 восстановить. Прекратить производство по кассационной жалобе Сорокина общества с ограниченной ответственностью «Петра Групп» в части обжалования определения Арбитражного суда города Санкт-Петербурга и Ленинградской области от 20.08.2018 по делу № А56-59898/2016.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