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13.12.2019, оставленным без изменения постановлением Восемнадцатого арбитражного апелляционного суда от 11.02.2020, требования удовлетворены частично, с учреждения в пользу общества взысканы задолженность в размере 243 631,19 рублей, неустойка в размере 20 022,27 рублей, расходы на оплату услуг представителя в размере 44 885 рублей, расходы по уплате государственной пошлины в размере 29 669 рублей, в удовлетворении остальной части требований отказано. Постановлением Арбитражного суда Уральского округа от 13.05.2020 указанные судебные акты оставлены без изменения. Учреждение обратилось в Верховный Суд Российской Федерации с кассационной жалобой, в которой просит состоявшиеся по делу судебные акты отменить в части взыскания неустойки и судебных расходов, считая их принятыми с нарушением норм материального и процессуального права в указанной части.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суды удовлетворили требования частично, признав доказанным факт поставки товара надлежащего качества и отсутствие его оплаты, однако судом произведен перерасчет суммы неустойки в связи с неправильным определением начала периода просрочки оплаты, распределены судебные расходы. Доводы жалобы относительно момента начала периода просрочки были предметом исследования судов и получили исчерпывающую правовую оценку исходя из условий контракта по возникновению обязанности по оплате, не согласиться с которыми оснований не имеется. Суды компенсировали обществу как стороне, в пользу которой принят судебный акт, понесенные судебные расходы, размер которых и факт несения проверен судами.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"Альянс СТС" (подробнее) Ответчики: ФГУ ИК-15 ГУ ФСИН России по Челябинской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