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17.10.2019, оставленным без изменения постановлением Пятого арбитражного апелляционного суда от 25.12.2019, в удовлетворении требований отказано. Постановлением Арбитражного суда Дальневосточного округа от 24.03.2020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требований, признав, что часть оборудования не согласована сторонами в сметном расчете, установив наличие расхождений сведений в документах на оборудование, а также исходя из недоказанности факта его отнесения к контракту и наличия потребительской ценности для ответчика (заказчика). Доводы жалобы со ссылками на установленные обстоятельства в рамках иных дел (по спорам между субподрядчиком, подрядчиком и заказчиком), были предметом исследования судов и получили исчерпывающую правовую оценку,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"СК"Эверест" (подробнее) Ответчики: ГБУЗ "Южно-Сахалинская городская больница им.Ф.С.Анкудинова"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